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6D" w:rsidRDefault="004D1BCB" w:rsidP="004D1BCB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DOBELES NOVADA PAŠVALDĪBA</w:t>
      </w: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DOBELES MĀKSLAS SKOLA</w:t>
      </w: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Reģ.nr. 4575902606</w:t>
      </w:r>
    </w:p>
    <w:p w:rsidR="007C206D" w:rsidRDefault="00794E7E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Skolas</w:t>
      </w:r>
      <w:r w:rsidR="004D1B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D1BCB">
        <w:rPr>
          <w:rFonts w:ascii="Times New Roman" w:eastAsia="Times New Roman" w:hAnsi="Times New Roman" w:cs="Times New Roman"/>
        </w:rPr>
        <w:t>iela</w:t>
      </w:r>
      <w:proofErr w:type="spellEnd"/>
      <w:r w:rsidR="004D1B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 w:rsidR="004D1BC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D1BCB">
        <w:rPr>
          <w:rFonts w:ascii="Times New Roman" w:eastAsia="Times New Roman" w:hAnsi="Times New Roman" w:cs="Times New Roman"/>
        </w:rPr>
        <w:t>Dobele</w:t>
      </w:r>
      <w:proofErr w:type="spellEnd"/>
      <w:r w:rsidR="004D1BC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D1BCB">
        <w:rPr>
          <w:rFonts w:ascii="Times New Roman" w:eastAsia="Times New Roman" w:hAnsi="Times New Roman" w:cs="Times New Roman"/>
        </w:rPr>
        <w:t>Dobeles</w:t>
      </w:r>
      <w:proofErr w:type="spellEnd"/>
      <w:r w:rsidR="004D1B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D1BCB">
        <w:rPr>
          <w:rFonts w:ascii="Times New Roman" w:eastAsia="Times New Roman" w:hAnsi="Times New Roman" w:cs="Times New Roman"/>
        </w:rPr>
        <w:t>novads</w:t>
      </w:r>
      <w:proofErr w:type="spellEnd"/>
      <w:r w:rsidR="004D1BCB">
        <w:rPr>
          <w:rFonts w:ascii="Times New Roman" w:eastAsia="Times New Roman" w:hAnsi="Times New Roman" w:cs="Times New Roman"/>
        </w:rPr>
        <w:t xml:space="preserve">, LV-3701, tālr.63721621, </w:t>
      </w:r>
      <w:proofErr w:type="spellStart"/>
      <w:r w:rsidR="004D1BCB">
        <w:rPr>
          <w:rFonts w:ascii="Times New Roman" w:eastAsia="Times New Roman" w:hAnsi="Times New Roman" w:cs="Times New Roman"/>
        </w:rPr>
        <w:t>e-</w:t>
      </w:r>
      <w:proofErr w:type="gramStart"/>
      <w:r w:rsidR="004D1BCB">
        <w:rPr>
          <w:rFonts w:ascii="Times New Roman" w:eastAsia="Times New Roman" w:hAnsi="Times New Roman" w:cs="Times New Roman"/>
        </w:rPr>
        <w:t>pasts:maksla</w:t>
      </w:r>
      <w:r>
        <w:rPr>
          <w:rFonts w:ascii="Times New Roman" w:eastAsia="Times New Roman" w:hAnsi="Times New Roman" w:cs="Times New Roman"/>
        </w:rPr>
        <w:t>s.skola</w:t>
      </w:r>
      <w:r w:rsidR="004D1BCB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</w:rPr>
        <w:t>dobele</w:t>
      </w:r>
      <w:r w:rsidR="004D1BCB">
        <w:rPr>
          <w:rFonts w:ascii="Times New Roman" w:eastAsia="Times New Roman" w:hAnsi="Times New Roman" w:cs="Times New Roman"/>
        </w:rPr>
        <w:t>.lv</w:t>
      </w:r>
      <w:proofErr w:type="spellEnd"/>
      <w:proofErr w:type="gramEnd"/>
      <w:r w:rsidR="004D1BCB">
        <w:rPr>
          <w:rFonts w:ascii="Times New Roman" w:eastAsia="Times New Roman" w:hAnsi="Times New Roman" w:cs="Times New Roman"/>
        </w:rPr>
        <w:t>,</w:t>
      </w:r>
    </w:p>
    <w:p w:rsidR="007C206D" w:rsidRDefault="001F4D13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6">
        <w:r w:rsidR="004D1BCB">
          <w:rPr>
            <w:rFonts w:ascii="Times New Roman" w:eastAsia="Times New Roman" w:hAnsi="Times New Roman" w:cs="Times New Roman"/>
            <w:color w:val="000000"/>
            <w:u w:val="single"/>
          </w:rPr>
          <w:t>www.dobelesmakslasskola.lv</w:t>
        </w:r>
      </w:hyperlink>
      <w:r w:rsidR="004D1BC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206D" w:rsidRDefault="004D1BCB" w:rsidP="004D1BCB">
      <w:pPr>
        <w:tabs>
          <w:tab w:val="center" w:pos="4536"/>
        </w:tabs>
        <w:spacing w:after="0" w:line="276" w:lineRule="auto"/>
        <w:ind w:right="-9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inherit" w:eastAsia="inherit" w:hAnsi="inherit" w:cs="inherit"/>
          <w:color w:val="555555"/>
          <w:sz w:val="21"/>
        </w:rPr>
        <w:t xml:space="preserve">                                                                                                                                     </w:t>
      </w:r>
      <w:r>
        <w:rPr>
          <w:rFonts w:ascii="inherit" w:eastAsia="inherit" w:hAnsi="inherit" w:cs="inherit"/>
          <w:color w:val="555555"/>
          <w:sz w:val="21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IEKŠĒJIE NOTEIKUMI</w:t>
      </w:r>
    </w:p>
    <w:p w:rsidR="007C206D" w:rsidRDefault="004D1BCB" w:rsidP="004D1BCB">
      <w:pPr>
        <w:tabs>
          <w:tab w:val="center" w:pos="4536"/>
        </w:tabs>
        <w:spacing w:after="0" w:line="276" w:lineRule="auto"/>
        <w:ind w:right="-908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Dobelē</w:t>
      </w:r>
      <w:proofErr w:type="spellEnd"/>
    </w:p>
    <w:p w:rsidR="007C206D" w:rsidRDefault="007C206D" w:rsidP="004D1BCB">
      <w:pPr>
        <w:spacing w:after="120" w:line="276" w:lineRule="auto"/>
        <w:ind w:left="360" w:hanging="360"/>
        <w:rPr>
          <w:rFonts w:ascii="Calibri" w:eastAsia="Calibri" w:hAnsi="Calibri" w:cs="Calibri"/>
        </w:rPr>
      </w:pPr>
    </w:p>
    <w:p w:rsidR="007C206D" w:rsidRDefault="00794E7E" w:rsidP="004D1BC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4D1BCB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1</w:t>
      </w:r>
      <w:r w:rsidR="004D1BCB">
        <w:rPr>
          <w:rFonts w:ascii="Times New Roman" w:eastAsia="Times New Roman" w:hAnsi="Times New Roman" w:cs="Times New Roman"/>
          <w:sz w:val="24"/>
        </w:rPr>
        <w:t>.20</w:t>
      </w:r>
      <w:r>
        <w:rPr>
          <w:rFonts w:ascii="Times New Roman" w:eastAsia="Times New Roman" w:hAnsi="Times New Roman" w:cs="Times New Roman"/>
          <w:sz w:val="24"/>
        </w:rPr>
        <w:t>23</w:t>
      </w:r>
      <w:r w:rsidR="004D1BCB">
        <w:rPr>
          <w:rFonts w:ascii="Times New Roman" w:eastAsia="Times New Roman" w:hAnsi="Times New Roman" w:cs="Times New Roman"/>
          <w:sz w:val="24"/>
        </w:rPr>
        <w:t>.                                                                                                             Nr.7</w:t>
      </w:r>
    </w:p>
    <w:p w:rsidR="007C206D" w:rsidRDefault="007C206D" w:rsidP="004D1BCB">
      <w:pPr>
        <w:spacing w:after="200" w:line="276" w:lineRule="auto"/>
        <w:jc w:val="center"/>
        <w:rPr>
          <w:rFonts w:ascii="inherit" w:eastAsia="inherit" w:hAnsi="inherit" w:cs="inherit"/>
          <w:color w:val="FF0000"/>
          <w:sz w:val="21"/>
        </w:rPr>
      </w:pP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DOBELES MĀKSLAS SKOLAS</w:t>
      </w:r>
    </w:p>
    <w:p w:rsidR="007C206D" w:rsidRDefault="004D1BCB" w:rsidP="004D1BCB">
      <w:pPr>
        <w:spacing w:after="0" w:line="276" w:lineRule="auto"/>
        <w:jc w:val="center"/>
        <w:rPr>
          <w:rFonts w:ascii="Calibri" w:eastAsia="Calibri" w:hAnsi="Calibri" w:cs="Calibri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AUDZĒKŅU UZŅEMŠANAS NOTEIKUMI</w:t>
      </w:r>
    </w:p>
    <w:p w:rsidR="007C206D" w:rsidRDefault="004D1BCB" w:rsidP="004D1BC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Izdoti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saskaņā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ar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</w:p>
    <w:p w:rsidR="007C206D" w:rsidRDefault="004D1BCB" w:rsidP="004D1BC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Dobeles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Mākslas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skolas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nolikuma</w:t>
      </w:r>
      <w:proofErr w:type="spellEnd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</w:p>
    <w:p w:rsidR="007C206D" w:rsidRDefault="00794E7E" w:rsidP="004D1BC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17</w:t>
      </w:r>
      <w:r w:rsidR="004D1BCB"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. un </w:t>
      </w:r>
      <w:proofErr w:type="gramStart"/>
      <w:r>
        <w:rPr>
          <w:rFonts w:ascii="Times New Roman" w:eastAsia="Times New Roman" w:hAnsi="Times New Roman" w:cs="Times New Roman"/>
          <w:sz w:val="18"/>
          <w:shd w:val="clear" w:color="auto" w:fill="FFFFFF"/>
        </w:rPr>
        <w:t>18</w:t>
      </w:r>
      <w:r w:rsidR="004D1BCB">
        <w:rPr>
          <w:rFonts w:ascii="Times New Roman" w:eastAsia="Times New Roman" w:hAnsi="Times New Roman" w:cs="Times New Roman"/>
          <w:sz w:val="18"/>
          <w:shd w:val="clear" w:color="auto" w:fill="FFFFFF"/>
        </w:rPr>
        <w:t>.punktiem</w:t>
      </w:r>
      <w:proofErr w:type="gramEnd"/>
      <w:r w:rsidR="004D1BCB">
        <w:rPr>
          <w:rFonts w:ascii="Times New Roman" w:eastAsia="Times New Roman" w:hAnsi="Times New Roman" w:cs="Times New Roman"/>
          <w:sz w:val="18"/>
          <w:shd w:val="clear" w:color="auto" w:fill="FFFFFF"/>
        </w:rPr>
        <w:t>.</w:t>
      </w:r>
    </w:p>
    <w:p w:rsidR="007C206D" w:rsidRDefault="007C206D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Vispārīgie</w:t>
      </w:r>
      <w:proofErr w:type="spellEnd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noteikumi</w:t>
      </w:r>
      <w:proofErr w:type="spellEnd"/>
    </w:p>
    <w:p w:rsidR="007C206D" w:rsidRPr="00A753DC" w:rsidRDefault="007C206D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Dobeles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Mākslas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skolas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noteikumi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turpmāk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noteikumi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nosaka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kārtību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Dobeles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Mākslas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skolas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turpmāk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-Skola)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īstenotajās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programmās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norisi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dokumentu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iesniegšanas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kārtību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ievirzes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mērķis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noskaidrot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audzēkņa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iepriekš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iegūto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zināšanu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prasmju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atbildtību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izvēlētajai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mācību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klasei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ievirzes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53D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„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Vizuāli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plastiskā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māksla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kods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20V 21100</w:t>
      </w:r>
      <w:r w:rsidRPr="00A753D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audzēkņus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9-10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gadu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vecuma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Skolā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ievirzes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notiek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katru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gadu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beigās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informāciju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publiskojot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Dobeles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novada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pašvaldības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lapā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Dobeles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novada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pārvaldes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lapā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skolas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lapā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mēnesi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pirms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norises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brīvajām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vietām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Skola var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izsludināt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papildus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augusta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beigās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septembra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pirmajā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nedēļā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555555"/>
          <w:sz w:val="21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Ineterešu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audzēkņus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Skolā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Sagatavošanas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grupā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vecumā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7-9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gadiem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un “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Mākslas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studijā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vecumā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no 16-18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gadiem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vecākiem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aizpildot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Skolas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direktoram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lastRenderedPageBreak/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Uzņemšanas</w:t>
      </w:r>
      <w:proofErr w:type="spellEnd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iestājpārbaudījumu</w:t>
      </w:r>
      <w:proofErr w:type="spellEnd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norise</w:t>
      </w:r>
      <w:proofErr w:type="spellEnd"/>
    </w:p>
    <w:p w:rsidR="007C206D" w:rsidRDefault="007C206D" w:rsidP="004D1BCB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Pretendentu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darbu</w:t>
      </w:r>
      <w:proofErr w:type="spellEnd"/>
      <w:proofErr w:type="gram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vērtē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direktora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rīkojumu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izveidota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cilvēku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sastāvā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kas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sagatavo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nepieciešamos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materiālus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vada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norisi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izvērtē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rezultātus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darbojas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patstāvīgi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nodrošinot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pārbaudījumu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norisi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vakantajām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vietām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nodrošina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visiem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pretendentiem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vienādus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piemērotus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apstākļus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veiksanai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Audzēkņu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uzņemšanai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ievirzes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tiek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noteikts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patstāvīgā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darba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veikšanai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objektīvi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darba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laikā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pēc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norises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izvērtē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rezultātus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tiek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vērtēti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pēc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(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desmit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baļļu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sistēmas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tiek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vērtēta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mākslinieciskā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uztvere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radoša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pieeja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tēmas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attēlojumam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krāsu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proporciju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kompozīcijas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izjūtu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divām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stundām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izmērs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A3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fomāts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Iestājpārbaudījuma</w:t>
      </w:r>
      <w:proofErr w:type="spellEnd"/>
      <w:r w:rsidRPr="00A753D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darba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veikšanai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nepieciešamie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materiāli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guašu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krāsas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zīmulis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dzēšgumija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kas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jānodrošina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vecākiem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Pretendentus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kuri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mācījušies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sagatavošanas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grupā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Skolā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bez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ieirzes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kods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20V21100</w:t>
      </w:r>
      <w:r w:rsidR="00794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izvētējot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iepriekšējo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gadu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darba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rezultātus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Pretendentus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kuru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vecums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sagatavotības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līmenis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atbilst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2.-3.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klašu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līmenim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var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tikt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uzņemti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attiecīgajās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klasēs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sekmīgi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nokārtojot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iestājpātbaudījumus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rezultātus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ieraksta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protokolā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Protokolu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paraksta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visi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locekļi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Komisijas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lēmumu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uzņemtajiem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audzēkņiem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rīkojumu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apstiprina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direktors</w:t>
      </w:r>
      <w:proofErr w:type="spellEnd"/>
      <w:r w:rsidRPr="00A75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Informācjas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istājpārbaudījumu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rezutātiem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pieejama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piecu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dienu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laikā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pēc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iestājpābaudījuma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veikšanas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informatīvā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stenda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nodrošinot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personas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aizsardzību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Ja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pretendents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Skolā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netiek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uzņemts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direktors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sniedz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rakstveida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atbildi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pretendenta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vecākiem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Bez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ietājpārbaudījumiem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uzrakstot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iesniegum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direktoram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parauga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apstiprināta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veidlapa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Skolā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tiek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uzņemti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citu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ievirzes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iestāžu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kuri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apguvuši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profesionālās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ievirzes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izglītības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Vizuāli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plastiskā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māksla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 (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programmas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kods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20V21100</w:t>
      </w:r>
      <w:r w:rsidR="00794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Šiem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audzēkņiem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tiesības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turpināt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programmas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apguvi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tai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pašā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klasē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Dokumentu</w:t>
      </w:r>
      <w:proofErr w:type="spellEnd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iesniegšanas</w:t>
      </w:r>
      <w:proofErr w:type="spellEnd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kārtība</w:t>
      </w:r>
      <w:proofErr w:type="spellEnd"/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Piesakoties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pretendenta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vecāki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iesniedz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aizpilda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direktoram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adresētu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ieesniegumu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parauga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apstiprināta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veidlapa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arī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uzrāda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personu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apliecinošu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dokumentu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Pēc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iestājpārbaudījumu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rezultātu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paziņošanas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pretendenta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vecāki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aizpilda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iesniedz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Izglītošanas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līgumu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parauga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apstiprināta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veidlapa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un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dzimšanas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apliecības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kopiju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numPr>
          <w:ilvl w:val="0"/>
          <w:numId w:val="1"/>
        </w:num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Medicīniskās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iestādes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izziņu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veselības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stāvokli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Skolā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iesniedz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mācību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sākumā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C206D" w:rsidRDefault="007C206D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555555"/>
          <w:sz w:val="21"/>
          <w:shd w:val="clear" w:color="auto" w:fill="FFFFFF"/>
        </w:rPr>
      </w:pPr>
    </w:p>
    <w:p w:rsidR="007C206D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Mācību</w:t>
      </w:r>
      <w:proofErr w:type="spellEnd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hd w:val="clear" w:color="auto" w:fill="FFFFFF"/>
        </w:rPr>
        <w:t>uzsākšana</w:t>
      </w:r>
      <w:proofErr w:type="spellEnd"/>
    </w:p>
    <w:p w:rsidR="007C206D" w:rsidRPr="00A753DC" w:rsidRDefault="004D1BCB" w:rsidP="004D1BCB">
      <w:pPr>
        <w:pStyle w:val="ListParagraph"/>
        <w:numPr>
          <w:ilvl w:val="0"/>
          <w:numId w:val="1"/>
        </w:numPr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Mācību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gada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sākumu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nosaka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normatīvie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akti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pStyle w:val="ListParagraph"/>
        <w:numPr>
          <w:ilvl w:val="0"/>
          <w:numId w:val="1"/>
        </w:numPr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Uzņemtos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audzēkņus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kuri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dienu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laikā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bez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attaisnojoša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iemesla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mācības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neuzsāk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atskaita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direktora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rīkojumu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3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 </w:t>
      </w:r>
      <w:proofErr w:type="spellStart"/>
      <w:r w:rsidRPr="00A753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Noslēguma</w:t>
      </w:r>
      <w:proofErr w:type="spellEnd"/>
      <w:r w:rsidRPr="00A753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jautājumi</w:t>
      </w:r>
      <w:proofErr w:type="spellEnd"/>
    </w:p>
    <w:p w:rsidR="007C206D" w:rsidRPr="00A753DC" w:rsidRDefault="004D1BCB" w:rsidP="004D1BCB">
      <w:pPr>
        <w:pStyle w:val="ListParagraph"/>
        <w:numPr>
          <w:ilvl w:val="0"/>
          <w:numId w:val="1"/>
        </w:numPr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Audzēkņu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uzņemšanas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noteikumi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brīvi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pieejami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interesentiem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visu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kalendāro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gadu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skolas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mājas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lapā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Pr="00A753DC" w:rsidRDefault="004D1BCB" w:rsidP="004D1BCB">
      <w:pPr>
        <w:pStyle w:val="ListParagraph"/>
        <w:numPr>
          <w:ilvl w:val="0"/>
          <w:numId w:val="1"/>
        </w:numPr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Grozījumus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noteikumos</w:t>
      </w:r>
      <w:proofErr w:type="spellEnd"/>
      <w:proofErr w:type="gram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izdara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Dobeles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novada </w:t>
      </w:r>
      <w:proofErr w:type="spellStart"/>
      <w:r w:rsidR="001F4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pašavldība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pēc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Skolas </w:t>
      </w:r>
      <w:proofErr w:type="spellStart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priekšlikuma</w:t>
      </w:r>
      <w:proofErr w:type="spellEnd"/>
      <w:r w:rsidRPr="00A75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206D" w:rsidRDefault="004D1BCB" w:rsidP="004D1BCB">
      <w:pPr>
        <w:spacing w:after="300" w:line="276" w:lineRule="auto"/>
        <w:rPr>
          <w:rFonts w:ascii="inherit" w:eastAsia="inherit" w:hAnsi="inherit" w:cs="inherit"/>
          <w:color w:val="555555"/>
          <w:sz w:val="21"/>
          <w:shd w:val="clear" w:color="auto" w:fill="FFFFFF"/>
        </w:rPr>
      </w:pPr>
      <w:r>
        <w:rPr>
          <w:rFonts w:ascii="inherit" w:eastAsia="inherit" w:hAnsi="inherit" w:cs="inherit"/>
          <w:color w:val="555555"/>
          <w:sz w:val="21"/>
          <w:shd w:val="clear" w:color="auto" w:fill="FFFFFF"/>
        </w:rPr>
        <w:t> </w:t>
      </w:r>
    </w:p>
    <w:p w:rsidR="007C206D" w:rsidRDefault="004D1BCB" w:rsidP="00794E7E">
      <w:pPr>
        <w:spacing w:after="30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>Direktore</w:t>
      </w:r>
      <w:proofErr w:type="spellEnd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                                    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>A.Lasmane</w:t>
      </w:r>
      <w:proofErr w:type="gramEnd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>-Erdema</w:t>
      </w:r>
      <w:proofErr w:type="spellEnd"/>
    </w:p>
    <w:p w:rsidR="007C206D" w:rsidRDefault="007C206D" w:rsidP="004D1BC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06D" w:rsidRDefault="007C206D" w:rsidP="004D1BC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06D" w:rsidRDefault="007C206D" w:rsidP="004D1BC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06D" w:rsidRDefault="007C206D" w:rsidP="004D1BC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06D" w:rsidRDefault="007C206D" w:rsidP="004D1BC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7C206D" w:rsidSect="004D1B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44A"/>
    <w:multiLevelType w:val="multilevel"/>
    <w:tmpl w:val="347E50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0C00523"/>
    <w:multiLevelType w:val="multilevel"/>
    <w:tmpl w:val="E6E6B3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6C35B1D"/>
    <w:multiLevelType w:val="multilevel"/>
    <w:tmpl w:val="E48EE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6D"/>
    <w:rsid w:val="001F4D13"/>
    <w:rsid w:val="004D1BCB"/>
    <w:rsid w:val="00794E7E"/>
    <w:rsid w:val="007C206D"/>
    <w:rsid w:val="00A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5C5"/>
  <w15:docId w15:val="{1CD30CBE-3170-4DF9-BDA4-996CCA0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elesmakslasskola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</dc:creator>
  <cp:lastModifiedBy>Aiga</cp:lastModifiedBy>
  <cp:revision>3</cp:revision>
  <dcterms:created xsi:type="dcterms:W3CDTF">2023-01-26T14:14:00Z</dcterms:created>
  <dcterms:modified xsi:type="dcterms:W3CDTF">2023-01-26T14:15:00Z</dcterms:modified>
</cp:coreProperties>
</file>